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1EE2" w14:textId="77777777" w:rsidR="00992159" w:rsidRPr="002162EF" w:rsidRDefault="00992159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4</w:t>
      </w:r>
    </w:p>
    <w:p w14:paraId="47B97F85" w14:textId="77777777" w:rsidR="00992159" w:rsidRPr="002162EF" w:rsidRDefault="00992159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-K</w:t>
      </w: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6342A7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….../GUD-K/…....../2026</w:t>
      </w:r>
    </w:p>
    <w:p w14:paraId="325DECBB" w14:textId="77777777" w:rsidR="00992159" w:rsidRPr="002162EF" w:rsidRDefault="00992159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584F8C7C" w14:textId="77777777" w:rsidR="00992159" w:rsidRPr="00D44578" w:rsidRDefault="00992159" w:rsidP="00D44578">
      <w:pPr>
        <w:tabs>
          <w:tab w:val="center" w:pos="4536"/>
          <w:tab w:val="right" w:pos="9072"/>
        </w:tabs>
        <w:spacing w:line="276" w:lineRule="auto"/>
        <w:ind w:right="140"/>
        <w:jc w:val="center"/>
        <w:rPr>
          <w:rFonts w:ascii="Cambria" w:hAnsi="Cambria"/>
        </w:rPr>
      </w:pPr>
      <w:r w:rsidRPr="00D44578">
        <w:rPr>
          <w:rFonts w:ascii="Cambria" w:eastAsia="Times New Roman" w:hAnsi="Cambria" w:cs="Arial"/>
          <w:b/>
          <w:caps/>
          <w:spacing w:val="20"/>
          <w:kern w:val="0"/>
          <w:sz w:val="22"/>
          <w:szCs w:val="22"/>
          <w:lang w:eastAsia="pl-PL"/>
          <w14:ligatures w14:val="none"/>
        </w:rPr>
        <w:t>SZCZEGÓŁOWE WARUNKI DOTYCZĄCE ŚWIADCZENIA USŁUGI DYSTRYBUCJI DLA SPÓŁDZIELNI ENERGETYCZNYCH</w:t>
      </w:r>
    </w:p>
    <w:p w14:paraId="7ECD66FB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Świadczenie usług dystrybucji dla spółdzielni energetycznych i jej członków odbywa się 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br/>
        <w:t xml:space="preserve">z uwzględnieniem zasad zawartych w Ustawie OZE i Rozporządzeniu Ministra Klimatu 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br/>
        <w:t xml:space="preserve">i Środowiska z dnia 23 marca 2022 r. w sprawie dokonywania rejestracji, bilansowania 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br/>
        <w:t>i udostępniania danych pomiarowych oraz rozliczeń spółdzielni energetycznych (Dz. U. poz. 703).</w:t>
      </w:r>
    </w:p>
    <w:p w14:paraId="28F4A7A4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Sprzedawca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spółdzielni energetycznej, na podstawie pełnomocnictwa, może wystąpić do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 wnioskiem o zainstalowanie licznika zdalnego odczytu każdemu z członków spółdzielni energetycznej, który zgodnie z art. 38da ust. 1 pkt. 2 Ustawy OZE zostanie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zainstalowany w terminie 4 miesięcy od dnia wystąpienia z takim wnioskiem. Wniosek, </w:t>
      </w:r>
      <w:r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br/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o którym mowa w zdaniu poprzednim może zostać również złożony do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przez spółdzielnię energetyczną.</w:t>
      </w:r>
    </w:p>
    <w:p w14:paraId="4CD00D2D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Wniosek o instalację licznika zdalnego odczytu dostępny jest na stronie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: </w:t>
      </w:r>
      <w:hyperlink r:id="rId7" w:history="1">
        <w:r w:rsidRPr="00D44578">
          <w:rPr>
            <w:rStyle w:val="Hipercze"/>
            <w:rFonts w:ascii="Cambria" w:eastAsia="Times New Roman" w:hAnsi="Cambria" w:cs="Arial"/>
            <w:color w:val="auto"/>
            <w:kern w:val="28"/>
            <w:sz w:val="22"/>
            <w:szCs w:val="22"/>
            <w:lang w:eastAsia="pl-PL"/>
            <w14:ligatures w14:val="none"/>
          </w:rPr>
          <w:t>www.esv.pl</w:t>
        </w:r>
      </w:hyperlink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.</w:t>
      </w:r>
    </w:p>
    <w:p w14:paraId="649665F1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udostępnia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Sprzedawcy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raport dobowo-godzinowy zawierający profile:</w:t>
      </w:r>
    </w:p>
    <w:p w14:paraId="78D1AC48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energii pobranej (</w:t>
      </w:r>
      <w:proofErr w:type="spellStart"/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Ep</w:t>
      </w:r>
      <w:proofErr w:type="spellEnd"/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),</w:t>
      </w:r>
    </w:p>
    <w:p w14:paraId="1ECB4F47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energii wprowadzonej do sieci (</w:t>
      </w:r>
      <w:proofErr w:type="spellStart"/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Eo</w:t>
      </w:r>
      <w:proofErr w:type="spellEnd"/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),</w:t>
      </w:r>
    </w:p>
    <w:p w14:paraId="78AD19DA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różnicy energii </w:t>
      </w:r>
      <w:proofErr w:type="spellStart"/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Ep-Eo</w:t>
      </w:r>
      <w:proofErr w:type="spellEnd"/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,</w:t>
      </w:r>
    </w:p>
    <w:p w14:paraId="23C5AFD7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różnicy </w:t>
      </w:r>
      <w:proofErr w:type="spellStart"/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Eo-Ep</w:t>
      </w:r>
      <w:proofErr w:type="spellEnd"/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.</w:t>
      </w:r>
    </w:p>
    <w:p w14:paraId="71F79774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Raport, o którym mowa w ust. 4,  udostępniany jest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Sprzedawcy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automatycznie, w terminie 5 dni roboczych od zakończenia miesiąca, na adres e-mail wskazany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Sprzedawcę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br/>
        <w:t xml:space="preserve">w załączniku nr 1, ust. 1 pkt. 2j). W przypadku konieczności korygowania danych w raporcie, w szczególności na skutek konieczności skorygowania danych pomiarowych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,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 xml:space="preserve">OSD 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niezwłocznie przekaże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Sprzedawcy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skorygowany raport dobowo-godzinowy.</w:t>
      </w:r>
    </w:p>
    <w:p w14:paraId="427A40DD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Sprzedawca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jest zobowiązany do przekazania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danych (we wskazanym formacie) 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br/>
        <w:t xml:space="preserve">o wolumenie energii elektrycznej wyznaczonym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Sprzedawcę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za okres rozliczeniowy dla każdego PPE członka spółdzielni energetycznej, na potrzeby naliczenia:</w:t>
      </w:r>
    </w:p>
    <w:p w14:paraId="671744B6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Opłaty OZE,</w:t>
      </w:r>
    </w:p>
    <w:p w14:paraId="02B3DF93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Opłaty mocowej,</w:t>
      </w:r>
    </w:p>
    <w:p w14:paraId="4994BBA1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Opłaty kogeneracyjnej.</w:t>
      </w:r>
    </w:p>
    <w:p w14:paraId="69EEF64A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Wskazane w ust. 6 dane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Sprzedawca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przekazuje do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w terminie 3 dni roboczych od otrzymania raportów, o których mowa w ust. 4. Wymagane informacje powinny zostać przekazane do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na adres email wskazany w załączniku nr 1, z wykorzystaniem tabeli zamieszczonej w niniejszym załączniku.</w:t>
      </w:r>
    </w:p>
    <w:p w14:paraId="0F6B6DD2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W przypadku konieczności dokonania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Sprzedawcę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zmiany danych o wolumenie energii elektrycznej, które zostały uprzednio przekazane do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zgodnie z ust. 6, w szczególności na skutek korekty danych pomiarowych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dla członka spółdzielni energetycznej,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 xml:space="preserve">Sprzedawca 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niezwłocznie wyznacza i przekazuje do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zmienione dane. Przekazanie następuje w sposób określony w ust. 6.</w:t>
      </w:r>
    </w:p>
    <w:p w14:paraId="2760CB36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W przypadku braku dostarczenia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Sprzedawcę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danych o wolumenie energii elektrycznej,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uprawnione jest do rozliczenia usługi dystrybucji energii elektrycznej na podstawie danych pomiarowych pochodzących bezpośrednio z licznika.</w:t>
      </w:r>
    </w:p>
    <w:p w14:paraId="476099C1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Rozliczenie ze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Sprzedawcą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za świadczone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usługi dystrybucji energii elektrycznej dla członków spółdzielni energetycznej prowadzone jest z uwzględnieniem przepisów prawa wskazanych w ust. 1 i według następujących zasad:</w:t>
      </w:r>
    </w:p>
    <w:p w14:paraId="5FF7515C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lastRenderedPageBreak/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nalicza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Sprzedawcy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opłatę sieciową zmienną oraz opłatę jakościową na podstawie danych pomiarowych wyznaczonych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zgodnie 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Umową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i IRiESD oraz pochodzących bezpośrednio z licznika.</w:t>
      </w:r>
    </w:p>
    <w:p w14:paraId="2DF924DE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Sprzedawca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w rozliczeniu z członkami spółdzielni energetycznej nalicza opłatę sieciową zmienną i opłatę jakościową na podstawie ilości energii wyznaczonych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Sprzedawcę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zgodnie z przepisami prawa wskazanymi w ust. 1, w szczególności z uwzględnieniem art. 38c ust. 7 Ustawy OZE.</w:t>
      </w:r>
    </w:p>
    <w:p w14:paraId="4A082872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Sprzedawca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dla danego okresu rozliczeniowego (tj. miesiąca kalendarzowego) dokonuje obliczenia stanowiących:</w:t>
      </w:r>
    </w:p>
    <w:p w14:paraId="3604886A" w14:textId="77777777" w:rsidR="00992159" w:rsidRPr="00D44578" w:rsidRDefault="00992159" w:rsidP="00D44578">
      <w:pPr>
        <w:pStyle w:val="Akapitzlist"/>
        <w:numPr>
          <w:ilvl w:val="2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sumę kwot opłat sieciowych zmiennych i kwot opłat jakościowych naliczonych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 xml:space="preserve">Sprzedawcy 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dla wszystkich członków spółdzielni energetycznej zgodnie z lit. a (zwaną dalej: „opłaty zmienne OSD”),</w:t>
      </w:r>
    </w:p>
    <w:p w14:paraId="66F20CAB" w14:textId="77777777" w:rsidR="00992159" w:rsidRPr="00D44578" w:rsidRDefault="00992159" w:rsidP="00D44578">
      <w:pPr>
        <w:pStyle w:val="Akapitzlist"/>
        <w:numPr>
          <w:ilvl w:val="2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sumę kwot opłat sieciowych zmiennych i kwot opłat jakościowych naliczonych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Sprzedawcę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wszystkim członkom spółdzielni energetycznej zgodnie z lit. b (zwaną dalej: „opłaty zmienne Sprzedawcy”),</w:t>
      </w:r>
    </w:p>
    <w:p w14:paraId="6EDCE4DE" w14:textId="77777777" w:rsidR="00992159" w:rsidRPr="00D44578" w:rsidRDefault="00992159" w:rsidP="00D44578">
      <w:pPr>
        <w:pStyle w:val="Akapitzlist"/>
        <w:numPr>
          <w:ilvl w:val="2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wartość energii elektrycznej wynikającej z nadwyżki ilości energii elektrycznej wprowadzonej do sieci dystrybucyjnej elektroenergetycznej wobec ilości energii elektrycznej pobranej z tej sieci przez wszystkich wytwórców i odbiorców energii elektrycznej spółdzielni energetycznej (zwaną dalej: „wartość nadwyżki”), którą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Sprzedawca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wyznacza zgodnie z art. 38c ust. 11 i ust. 11a Ustawy OZE.</w:t>
      </w:r>
    </w:p>
    <w:p w14:paraId="2B45164E" w14:textId="77777777" w:rsidR="00992159" w:rsidRPr="00D44578" w:rsidRDefault="00992159" w:rsidP="00D44578">
      <w:pPr>
        <w:pStyle w:val="Akapitzlist"/>
        <w:numPr>
          <w:ilvl w:val="1"/>
          <w:numId w:val="7"/>
        </w:numPr>
        <w:tabs>
          <w:tab w:val="clear" w:pos="720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W przypadku, gdy zsumowana kwota „opłat zmiennych Sprzedawcy” oraz „wartości nadwyżki” jest:</w:t>
      </w:r>
    </w:p>
    <w:p w14:paraId="14757958" w14:textId="77777777" w:rsidR="00992159" w:rsidRPr="00D44578" w:rsidRDefault="00992159" w:rsidP="00D44578">
      <w:pPr>
        <w:pStyle w:val="Akapitzlist"/>
        <w:numPr>
          <w:ilvl w:val="2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równa lub wyższa kwocie „opłat zmiennych OSD”, wówczas pomiędzy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a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Sprzedawcą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nie jest wykonywane dodatkowe rozliczenie,</w:t>
      </w:r>
    </w:p>
    <w:p w14:paraId="79BCD19F" w14:textId="77777777" w:rsidR="00992159" w:rsidRPr="00D44578" w:rsidRDefault="00992159" w:rsidP="00D44578">
      <w:pPr>
        <w:pStyle w:val="Akapitzlist"/>
        <w:numPr>
          <w:ilvl w:val="2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niższa niż kwota „opłat zmiennych OSD”, wówczas pomiędzy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a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Sprzedawcą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wykonywane jest dodatkowe rozliczenie, w ramach którego Sprzedawca obciąży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kwotą brakującej różnicy (tj. różnicy pomiędzy zsumowaną kwotą „opłat zmiennych Sprzedawcy” oraz „wartości nadwyżki”, a kwotą „opłat zmiennych OSD”); rozliczenie to wykonywane jest poprzez wystawienie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Sprzedawcę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dla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OSD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noty obciążeniowej, zgodnie z zasadami rozliczeń zawartymi w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Umowie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.</w:t>
      </w:r>
    </w:p>
    <w:p w14:paraId="5BC2CADA" w14:textId="77777777" w:rsidR="00992159" w:rsidRPr="00D44578" w:rsidRDefault="00992159" w:rsidP="00D44578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Rozliczenia ze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>Sprzedawcą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 xml:space="preserve"> za świadczone przez </w:t>
      </w:r>
      <w:r w:rsidRPr="00D44578">
        <w:rPr>
          <w:rFonts w:ascii="Cambria" w:eastAsia="Times New Roman" w:hAnsi="Cambria" w:cs="Arial"/>
          <w:b/>
          <w:bCs/>
          <w:kern w:val="28"/>
          <w:sz w:val="22"/>
          <w:szCs w:val="22"/>
          <w:lang w:eastAsia="pl-PL"/>
          <w14:ligatures w14:val="none"/>
        </w:rPr>
        <w:t xml:space="preserve">OSD </w:t>
      </w:r>
      <w:r w:rsidRPr="00D44578"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t>usługi dystrybucji energii elektrycznej dla członków spółdzielni energetycznej w części dotyczącej opłat innych niż wskazane w ust. 6 i 10 odbywają się na zasadach określonych w Taryfie OSD.</w:t>
      </w:r>
    </w:p>
    <w:p w14:paraId="5AED0468" w14:textId="77777777" w:rsidR="00992159" w:rsidRPr="009F060E" w:rsidRDefault="00992159" w:rsidP="00D4457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i/>
          <w:iCs/>
          <w:kern w:val="28"/>
          <w:sz w:val="22"/>
          <w:szCs w:val="22"/>
          <w:lang w:eastAsia="pl-PL"/>
          <w14:ligatures w14:val="none"/>
        </w:rPr>
      </w:pPr>
    </w:p>
    <w:p w14:paraId="51CEE33F" w14:textId="77777777" w:rsidR="00992159" w:rsidRPr="009F060E" w:rsidRDefault="00992159" w:rsidP="00D44578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i/>
          <w:iCs/>
          <w:kern w:val="28"/>
          <w:sz w:val="20"/>
          <w:szCs w:val="20"/>
          <w:u w:val="single"/>
          <w:lang w:eastAsia="pl-PL"/>
          <w14:ligatures w14:val="none"/>
        </w:rPr>
      </w:pPr>
      <w:r w:rsidRPr="009F060E">
        <w:rPr>
          <w:rFonts w:ascii="Cambria" w:eastAsia="Times New Roman" w:hAnsi="Cambria" w:cs="Arial"/>
          <w:i/>
          <w:iCs/>
          <w:kern w:val="28"/>
          <w:sz w:val="20"/>
          <w:szCs w:val="20"/>
          <w:u w:val="single"/>
          <w:lang w:eastAsia="pl-PL"/>
          <w14:ligatures w14:val="none"/>
        </w:rPr>
        <w:t>Tabela wolumenów energii elektrycznej do naliczenia opłaty OZE, opłaty kogeneracyjnej oraz opłaty mocowej (ryczałt)</w:t>
      </w:r>
    </w:p>
    <w:tbl>
      <w:tblPr>
        <w:tblStyle w:val="Siatkatabelijasna"/>
        <w:tblW w:w="0" w:type="auto"/>
        <w:jc w:val="center"/>
        <w:tblLook w:val="04A0" w:firstRow="1" w:lastRow="0" w:firstColumn="1" w:lastColumn="0" w:noHBand="0" w:noVBand="1"/>
      </w:tblPr>
      <w:tblGrid>
        <w:gridCol w:w="1905"/>
        <w:gridCol w:w="1779"/>
        <w:gridCol w:w="1563"/>
        <w:gridCol w:w="1908"/>
        <w:gridCol w:w="1905"/>
      </w:tblGrid>
      <w:tr w:rsidR="00992159" w:rsidRPr="009F060E" w14:paraId="502BB200" w14:textId="77777777" w:rsidTr="00F8778D">
        <w:trPr>
          <w:jc w:val="center"/>
        </w:trPr>
        <w:tc>
          <w:tcPr>
            <w:tcW w:w="1905" w:type="dxa"/>
          </w:tcPr>
          <w:p w14:paraId="08F0BD15" w14:textId="77777777" w:rsidR="00992159" w:rsidRPr="009F060E" w:rsidRDefault="00992159" w:rsidP="00F8778D">
            <w:pPr>
              <w:spacing w:line="264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F060E">
              <w:rPr>
                <w:rFonts w:ascii="Cambria" w:hAnsi="Cambria"/>
                <w:b/>
                <w:bCs/>
                <w:sz w:val="18"/>
                <w:szCs w:val="18"/>
              </w:rPr>
              <w:t>Numer PPE</w:t>
            </w:r>
            <w:r w:rsidRPr="009F060E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członka spółdzielni energetycznej</w:t>
            </w:r>
          </w:p>
        </w:tc>
        <w:tc>
          <w:tcPr>
            <w:tcW w:w="1780" w:type="dxa"/>
          </w:tcPr>
          <w:p w14:paraId="16929643" w14:textId="77777777" w:rsidR="00992159" w:rsidRPr="009F060E" w:rsidRDefault="00992159" w:rsidP="00F8778D">
            <w:pPr>
              <w:spacing w:line="264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F060E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Miesiąc i rok, którego dotyczy rozliczenie </w:t>
            </w:r>
            <w:r w:rsidRPr="009F060E">
              <w:rPr>
                <w:rFonts w:ascii="Cambria" w:hAnsi="Cambria" w:cs="Times New Roman"/>
                <w:b/>
                <w:bCs/>
                <w:sz w:val="18"/>
                <w:szCs w:val="18"/>
              </w:rPr>
              <w:br/>
              <w:t>[</w:t>
            </w:r>
            <w:proofErr w:type="spellStart"/>
            <w:r w:rsidRPr="009F060E">
              <w:rPr>
                <w:rFonts w:ascii="Cambria" w:hAnsi="Cambria" w:cs="Times New Roman"/>
                <w:b/>
                <w:bCs/>
                <w:sz w:val="18"/>
                <w:szCs w:val="18"/>
              </w:rPr>
              <w:t>mm.rrrr</w:t>
            </w:r>
            <w:proofErr w:type="spellEnd"/>
            <w:r w:rsidRPr="009F060E">
              <w:rPr>
                <w:rFonts w:ascii="Cambria" w:hAnsi="Cambria" w:cs="Times New Roman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563" w:type="dxa"/>
          </w:tcPr>
          <w:p w14:paraId="109B54B2" w14:textId="77777777" w:rsidR="00992159" w:rsidRPr="009F060E" w:rsidRDefault="00992159" w:rsidP="00F8778D">
            <w:pPr>
              <w:spacing w:line="264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F060E">
              <w:rPr>
                <w:rFonts w:ascii="Cambria" w:hAnsi="Cambria" w:cs="Times New Roman"/>
                <w:b/>
                <w:bCs/>
                <w:sz w:val="18"/>
                <w:szCs w:val="18"/>
              </w:rPr>
              <w:t>Tryb przekazania danych (wyznaczenie danych/korekta danych)</w:t>
            </w:r>
          </w:p>
        </w:tc>
        <w:tc>
          <w:tcPr>
            <w:tcW w:w="1908" w:type="dxa"/>
          </w:tcPr>
          <w:p w14:paraId="320CE7AA" w14:textId="77777777" w:rsidR="00992159" w:rsidRPr="009F060E" w:rsidRDefault="00992159" w:rsidP="00F8778D">
            <w:pPr>
              <w:spacing w:line="264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F060E">
              <w:rPr>
                <w:rFonts w:ascii="Cambria" w:hAnsi="Cambria" w:cs="Times New Roman"/>
                <w:b/>
                <w:bCs/>
                <w:sz w:val="18"/>
                <w:szCs w:val="18"/>
              </w:rPr>
              <w:t>Wolumen energii elektrycznej dla opłaty OZE i opłaty kogeneracyjnej [kWh]</w:t>
            </w:r>
          </w:p>
        </w:tc>
        <w:tc>
          <w:tcPr>
            <w:tcW w:w="1906" w:type="dxa"/>
          </w:tcPr>
          <w:p w14:paraId="342024AC" w14:textId="77777777" w:rsidR="00992159" w:rsidRPr="009F060E" w:rsidRDefault="00992159" w:rsidP="00F8778D">
            <w:pPr>
              <w:spacing w:line="264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F060E">
              <w:rPr>
                <w:rFonts w:ascii="Cambria" w:hAnsi="Cambria" w:cs="Times New Roman"/>
                <w:b/>
                <w:bCs/>
                <w:sz w:val="18"/>
                <w:szCs w:val="18"/>
              </w:rPr>
              <w:t>Wolumen energii elektrycznej dla opłaty mocowej [kWh] – opłata rozliczana w sposób ryczałtowy*</w:t>
            </w:r>
          </w:p>
        </w:tc>
      </w:tr>
      <w:tr w:rsidR="00992159" w:rsidRPr="009F060E" w14:paraId="6E36CF8F" w14:textId="77777777" w:rsidTr="00F8778D">
        <w:trPr>
          <w:jc w:val="center"/>
        </w:trPr>
        <w:tc>
          <w:tcPr>
            <w:tcW w:w="1905" w:type="dxa"/>
          </w:tcPr>
          <w:p w14:paraId="375889D6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F060E">
              <w:rPr>
                <w:rFonts w:ascii="Cambria" w:hAnsi="Cambria" w:cs="Times New Roman"/>
                <w:sz w:val="18"/>
                <w:szCs w:val="18"/>
              </w:rPr>
              <w:t>PPE 1</w:t>
            </w:r>
          </w:p>
        </w:tc>
        <w:tc>
          <w:tcPr>
            <w:tcW w:w="1780" w:type="dxa"/>
          </w:tcPr>
          <w:p w14:paraId="5AAC966E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A13E2F0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14:paraId="57F5D705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14:paraId="0D46BFC0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992159" w:rsidRPr="009F060E" w14:paraId="6A2DA72C" w14:textId="77777777" w:rsidTr="00F8778D">
        <w:trPr>
          <w:jc w:val="center"/>
        </w:trPr>
        <w:tc>
          <w:tcPr>
            <w:tcW w:w="1905" w:type="dxa"/>
          </w:tcPr>
          <w:p w14:paraId="47C5A499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F060E">
              <w:rPr>
                <w:rFonts w:ascii="Cambria" w:hAnsi="Cambria" w:cs="Times New Roman"/>
                <w:sz w:val="18"/>
                <w:szCs w:val="18"/>
              </w:rPr>
              <w:t>PPE 2</w:t>
            </w:r>
          </w:p>
        </w:tc>
        <w:tc>
          <w:tcPr>
            <w:tcW w:w="1780" w:type="dxa"/>
          </w:tcPr>
          <w:p w14:paraId="044860F8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7BCC656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14:paraId="5011AC94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14:paraId="511693B7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992159" w:rsidRPr="009F060E" w14:paraId="215C58CB" w14:textId="77777777" w:rsidTr="00F8778D">
        <w:trPr>
          <w:jc w:val="center"/>
        </w:trPr>
        <w:tc>
          <w:tcPr>
            <w:tcW w:w="1905" w:type="dxa"/>
          </w:tcPr>
          <w:p w14:paraId="74733F10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9F060E">
              <w:rPr>
                <w:rFonts w:ascii="Cambria" w:hAnsi="Cambria"/>
                <w:sz w:val="18"/>
                <w:szCs w:val="18"/>
              </w:rPr>
              <w:t>PPE 3</w:t>
            </w:r>
          </w:p>
        </w:tc>
        <w:tc>
          <w:tcPr>
            <w:tcW w:w="1780" w:type="dxa"/>
          </w:tcPr>
          <w:p w14:paraId="0447413A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C9DFDA6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08" w:type="dxa"/>
          </w:tcPr>
          <w:p w14:paraId="1418B042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06" w:type="dxa"/>
          </w:tcPr>
          <w:p w14:paraId="122E9D7C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992159" w:rsidRPr="009F060E" w14:paraId="3C274DB8" w14:textId="77777777" w:rsidTr="00F8778D">
        <w:trPr>
          <w:jc w:val="center"/>
        </w:trPr>
        <w:tc>
          <w:tcPr>
            <w:tcW w:w="1905" w:type="dxa"/>
          </w:tcPr>
          <w:p w14:paraId="6EC726CE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9F060E">
              <w:rPr>
                <w:rFonts w:ascii="Cambria" w:hAnsi="Cambria"/>
                <w:sz w:val="18"/>
                <w:szCs w:val="18"/>
              </w:rPr>
              <w:t>PPE …..</w:t>
            </w:r>
          </w:p>
        </w:tc>
        <w:tc>
          <w:tcPr>
            <w:tcW w:w="1780" w:type="dxa"/>
          </w:tcPr>
          <w:p w14:paraId="69289C7A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607E709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08" w:type="dxa"/>
          </w:tcPr>
          <w:p w14:paraId="083721A2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06" w:type="dxa"/>
          </w:tcPr>
          <w:p w14:paraId="461203C4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992159" w:rsidRPr="009F060E" w14:paraId="6EE68487" w14:textId="77777777" w:rsidTr="00F8778D">
        <w:trPr>
          <w:jc w:val="center"/>
        </w:trPr>
        <w:tc>
          <w:tcPr>
            <w:tcW w:w="1905" w:type="dxa"/>
          </w:tcPr>
          <w:p w14:paraId="4ADD6BAD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9F060E">
              <w:rPr>
                <w:rFonts w:ascii="Cambria" w:hAnsi="Cambria"/>
                <w:sz w:val="18"/>
                <w:szCs w:val="18"/>
              </w:rPr>
              <w:t>Suma</w:t>
            </w:r>
          </w:p>
        </w:tc>
        <w:tc>
          <w:tcPr>
            <w:tcW w:w="1780" w:type="dxa"/>
          </w:tcPr>
          <w:p w14:paraId="2B78B1E7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04DAD87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08" w:type="dxa"/>
          </w:tcPr>
          <w:p w14:paraId="4F07003D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06" w:type="dxa"/>
          </w:tcPr>
          <w:p w14:paraId="5AA10916" w14:textId="77777777" w:rsidR="00992159" w:rsidRPr="009F060E" w:rsidRDefault="00992159" w:rsidP="00F8778D">
            <w:pPr>
              <w:spacing w:line="264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C7732B2" w14:textId="77777777" w:rsidR="00992159" w:rsidRPr="009F060E" w:rsidRDefault="00992159" w:rsidP="00D4457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i/>
          <w:iCs/>
          <w:kern w:val="28"/>
          <w:sz w:val="16"/>
          <w:szCs w:val="16"/>
          <w:lang w:eastAsia="pl-PL"/>
          <w14:ligatures w14:val="none"/>
        </w:rPr>
      </w:pPr>
      <w:r w:rsidRPr="009F060E">
        <w:rPr>
          <w:rFonts w:ascii="Cambria" w:eastAsia="Times New Roman" w:hAnsi="Cambria" w:cs="Arial"/>
          <w:i/>
          <w:iCs/>
          <w:kern w:val="28"/>
          <w:sz w:val="16"/>
          <w:szCs w:val="16"/>
          <w:lang w:eastAsia="pl-PL"/>
          <w14:ligatures w14:val="none"/>
        </w:rPr>
        <w:t xml:space="preserve">* Wypełnia się w przypadku, gdy PPE ma rozliczaną opłatę mocową w sposób ryczałtowy. W przypadku, gdy PPE ma rozliczaną opłatę mocową sposób nie ryczałtowy, należy pole zostawić nieuzupełnione i przekazać do OSD tabelę wskazaną w załączniku </w:t>
      </w:r>
      <w:proofErr w:type="spellStart"/>
      <w:r w:rsidRPr="009F060E">
        <w:rPr>
          <w:rFonts w:ascii="Cambria" w:eastAsia="Times New Roman" w:hAnsi="Cambria" w:cs="Arial"/>
          <w:i/>
          <w:iCs/>
          <w:kern w:val="28"/>
          <w:sz w:val="16"/>
          <w:szCs w:val="16"/>
          <w:lang w:eastAsia="pl-PL"/>
          <w14:ligatures w14:val="none"/>
        </w:rPr>
        <w:t>excel</w:t>
      </w:r>
      <w:proofErr w:type="spellEnd"/>
      <w:r w:rsidRPr="009F060E">
        <w:rPr>
          <w:rFonts w:ascii="Cambria" w:eastAsia="Times New Roman" w:hAnsi="Cambria" w:cs="Arial"/>
          <w:i/>
          <w:iCs/>
          <w:kern w:val="28"/>
          <w:sz w:val="16"/>
          <w:szCs w:val="16"/>
          <w:lang w:eastAsia="pl-PL"/>
          <w14:ligatures w14:val="none"/>
        </w:rPr>
        <w:t>.”</w:t>
      </w:r>
    </w:p>
    <w:p w14:paraId="23E08FB0" w14:textId="77777777" w:rsidR="00992159" w:rsidRDefault="00992159" w:rsidP="00D4457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  <w:sectPr w:rsidR="00992159" w:rsidSect="00992159">
          <w:footerReference w:type="default" r:id="rId8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78F50F2D" w14:textId="77777777" w:rsidR="00992159" w:rsidRPr="009F060E" w:rsidRDefault="00992159" w:rsidP="00D4457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28"/>
          <w:sz w:val="22"/>
          <w:szCs w:val="22"/>
          <w:lang w:eastAsia="pl-PL"/>
          <w14:ligatures w14:val="none"/>
        </w:rPr>
      </w:pPr>
    </w:p>
    <w:sectPr w:rsidR="00992159" w:rsidRPr="009F060E" w:rsidSect="00992159">
      <w:footerReference w:type="default" r:id="rId9"/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1E15" w14:textId="77777777" w:rsidR="000C67F6" w:rsidRDefault="000C67F6" w:rsidP="002162EF">
      <w:pPr>
        <w:spacing w:after="0" w:line="240" w:lineRule="auto"/>
      </w:pPr>
      <w:r>
        <w:separator/>
      </w:r>
    </w:p>
  </w:endnote>
  <w:endnote w:type="continuationSeparator" w:id="0">
    <w:p w14:paraId="3C885652" w14:textId="77777777" w:rsidR="000C67F6" w:rsidRDefault="000C67F6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8AE8" w14:textId="77777777" w:rsidR="00992159" w:rsidRPr="002162EF" w:rsidRDefault="00992159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14:paraId="0437C7FE" w14:textId="77777777" w:rsidR="00992159" w:rsidRPr="002162EF" w:rsidRDefault="00992159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B6BB" w14:textId="77777777" w:rsidR="00992159" w:rsidRPr="002162EF" w:rsidRDefault="00992159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14:paraId="213619A6" w14:textId="77777777" w:rsidR="00992159" w:rsidRPr="002162EF" w:rsidRDefault="00992159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172E" w14:textId="77777777" w:rsidR="000C67F6" w:rsidRDefault="000C67F6" w:rsidP="002162EF">
      <w:pPr>
        <w:spacing w:after="0" w:line="240" w:lineRule="auto"/>
      </w:pPr>
      <w:r>
        <w:separator/>
      </w:r>
    </w:p>
  </w:footnote>
  <w:footnote w:type="continuationSeparator" w:id="0">
    <w:p w14:paraId="33115CBC" w14:textId="77777777" w:rsidR="000C67F6" w:rsidRDefault="000C67F6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4D02126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1">
    <w:nsid w:val="5CFD1038"/>
    <w:multiLevelType w:val="hybridMultilevel"/>
    <w:tmpl w:val="3A2C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5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5"/>
  </w:num>
  <w:num w:numId="2" w16cid:durableId="2037152310">
    <w:abstractNumId w:val="0"/>
  </w:num>
  <w:num w:numId="3" w16cid:durableId="1898278035">
    <w:abstractNumId w:val="4"/>
  </w:num>
  <w:num w:numId="4" w16cid:durableId="163783132">
    <w:abstractNumId w:val="1"/>
  </w:num>
  <w:num w:numId="5" w16cid:durableId="2022318318">
    <w:abstractNumId w:val="6"/>
  </w:num>
  <w:num w:numId="6" w16cid:durableId="2119061786">
    <w:abstractNumId w:val="3"/>
  </w:num>
  <w:num w:numId="7" w16cid:durableId="118378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82147"/>
    <w:rsid w:val="000C67F6"/>
    <w:rsid w:val="001131A7"/>
    <w:rsid w:val="0016207E"/>
    <w:rsid w:val="001A330E"/>
    <w:rsid w:val="002162EF"/>
    <w:rsid w:val="002C4EA1"/>
    <w:rsid w:val="003229AF"/>
    <w:rsid w:val="00366235"/>
    <w:rsid w:val="00413FE5"/>
    <w:rsid w:val="005F2BD1"/>
    <w:rsid w:val="006011C0"/>
    <w:rsid w:val="006C69EC"/>
    <w:rsid w:val="006C6FC5"/>
    <w:rsid w:val="006D4745"/>
    <w:rsid w:val="007749BE"/>
    <w:rsid w:val="007B0C3B"/>
    <w:rsid w:val="007B78E1"/>
    <w:rsid w:val="008133E8"/>
    <w:rsid w:val="0081792C"/>
    <w:rsid w:val="008E295F"/>
    <w:rsid w:val="008F70FB"/>
    <w:rsid w:val="00992159"/>
    <w:rsid w:val="00A35577"/>
    <w:rsid w:val="00A719C0"/>
    <w:rsid w:val="00AD110C"/>
    <w:rsid w:val="00B3622A"/>
    <w:rsid w:val="00B366D1"/>
    <w:rsid w:val="00B83763"/>
    <w:rsid w:val="00BC7D65"/>
    <w:rsid w:val="00C13A06"/>
    <w:rsid w:val="00C454E1"/>
    <w:rsid w:val="00C75BE2"/>
    <w:rsid w:val="00D44578"/>
    <w:rsid w:val="00E841DB"/>
    <w:rsid w:val="00E87730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6CD1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623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235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36623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s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2026-03-10T13:53:00Z</dcterms:created>
  <dcterms:modified xsi:type="dcterms:W3CDTF">2026-03-10T13:54:00Z</dcterms:modified>
</cp:coreProperties>
</file>